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napToGrid w:val="0"/>
        <w:jc w:val="center"/>
        <w:textAlignment w:val="center"/>
        <w:rPr>
          <w:rFonts w:ascii="黑体" w:eastAsia="黑体" w:cs="黑体" w:hAnsi="黑体"/>
          <w:b w:val="0"/>
          <w:bCs/>
          <w:kern w:val="0"/>
          <w:sz w:val="32"/>
          <w:szCs w:val="32"/>
          <w:lang w:eastAsia="zh-CN"/>
        </w:rPr>
      </w:pPr>
    </w:p>
    <w:p>
      <w:pPr>
        <w:widowControl/>
        <w:snapToGrid w:val="0"/>
        <w:jc w:val="center"/>
        <w:textAlignment w:val="center"/>
        <w:rPr>
          <w:rFonts w:ascii="黑体" w:eastAsia="黑体" w:cs="黑体" w:hAnsi="黑体"/>
          <w:b w:val="0"/>
          <w:bCs/>
          <w:kern w:val="0"/>
          <w:sz w:val="32"/>
          <w:szCs w:val="32"/>
          <w:lang w:eastAsia="zh-CN"/>
        </w:rPr>
      </w:pPr>
    </w:p>
    <w:p>
      <w:pPr>
        <w:widowControl/>
        <w:snapToGrid w:val="0"/>
        <w:jc w:val="center"/>
        <w:textAlignment w:val="center"/>
        <w:rPr>
          <w:rFonts w:ascii="黑体" w:eastAsia="黑体" w:cs="黑体" w:hAnsi="黑体"/>
          <w:b w:val="0"/>
          <w:bCs/>
          <w:kern w:val="0"/>
          <w:sz w:val="32"/>
          <w:szCs w:val="32"/>
          <w:lang w:eastAsia="zh-CN"/>
        </w:rPr>
      </w:pPr>
    </w:p>
    <w:p>
      <w:pPr>
        <w:widowControl/>
        <w:snapToGrid w:val="0"/>
        <w:jc w:val="center"/>
        <w:textAlignment w:val="center"/>
        <w:rPr>
          <w:rFonts w:ascii="楷体" w:eastAsia="楷体" w:cs="楷体" w:hAnsi="楷体" w:hint="eastAsia"/>
          <w:b w:val="0"/>
          <w:bCs/>
          <w:i w:val="0"/>
          <w:iCs w:val="0"/>
          <w:kern w:val="0"/>
          <w:sz w:val="32"/>
          <w:szCs w:val="32"/>
          <w:lang w:eastAsia="zh-CN"/>
        </w:rPr>
      </w:pPr>
      <w:bookmarkStart w:id="0" w:name="_GoBack"/>
      <w:bookmarkEnd w:id="0"/>
    </w:p>
    <w:tbl>
      <w:tblPr>
        <w:jc w:val="center"/>
        <w:tblW w:w="1405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00"/>
        <w:gridCol w:w="4125"/>
        <w:gridCol w:w="5004"/>
        <w:gridCol w:w="4026"/>
      </w:tblGrid>
      <w:tr>
        <w:trPr>
          <w:trHeight w:val="699"/>
          <w:tblHeader/>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sz w:val="24"/>
              </w:rPr>
            </w:pPr>
            <w:r>
              <w:rPr>
                <w:rFonts w:ascii="宋体" w:cs="宋体" w:hAnsi="宋体" w:hint="eastAsia"/>
                <w:b/>
                <w:kern w:val="0"/>
                <w:sz w:val="24"/>
              </w:rPr>
              <w:t>序号</w:t>
            </w: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sz w:val="24"/>
              </w:rPr>
            </w:pPr>
            <w:r>
              <w:rPr>
                <w:rFonts w:ascii="宋体" w:cs="宋体" w:hAnsi="宋体" w:hint="eastAsia"/>
                <w:b/>
                <w:kern w:val="0"/>
                <w:sz w:val="24"/>
              </w:rPr>
              <w:t>企业名称</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sz w:val="24"/>
              </w:rPr>
            </w:pPr>
            <w:r>
              <w:rPr>
                <w:rFonts w:ascii="宋体" w:cs="宋体" w:hAnsi="宋体" w:hint="eastAsia"/>
                <w:b/>
                <w:kern w:val="0"/>
                <w:sz w:val="24"/>
              </w:rPr>
              <w:t>申请事项</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kern w:val="0"/>
                <w:sz w:val="24"/>
              </w:rPr>
            </w:pPr>
            <w:r>
              <w:rPr>
                <w:rFonts w:ascii="宋体" w:cs="宋体" w:hAnsi="宋体" w:hint="eastAsia"/>
                <w:b/>
                <w:kern w:val="0"/>
                <w:sz w:val="24"/>
              </w:rPr>
              <w:t>审查结果</w:t>
            </w:r>
          </w:p>
        </w:tc>
      </w:tr>
      <w:tr>
        <w:trPr>
          <w:trHeight w:val="90"/>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fldChar w:fldCharType="begin"/>
            </w:r>
            <w:r>
              <w:instrText>HYPERLINK "https://59.197.161.2/hz_aeaa/todo/more_manage?parentlink=304B9AA0-7B24-4CA0-B4C8-1A81DBB1E6C2&amp;sonlink=B23D966E-8075-4F9A-A154-1AFF5539C047&amp;page.currentPage=2&amp;page.showCount=10"</w:instrText>
            </w:r>
            <w:r>
              <w:rPr>
                <w:rFonts w:ascii="仿宋_GB2312" w:eastAsia="仿宋_GB2312" w:cs="仿宋_GB2312" w:hAnsi="仿宋_GB2312" w:hint="eastAsia"/>
                <w:bCs/>
                <w:color w:val="000000"/>
                <w:sz w:val="24"/>
                <w:szCs w:val="24"/>
              </w:rPr>
              <w:fldChar w:fldCharType="separate"/>
            </w:r>
            <w:r>
              <w:rPr>
                <w:rFonts w:ascii="仿宋_GB2312" w:eastAsia="仿宋_GB2312" w:cs="仿宋_GB2312" w:hAnsi="仿宋_GB2312" w:hint="eastAsia"/>
                <w:bCs/>
                <w:color w:val="000000"/>
                <w:sz w:val="24"/>
                <w:szCs w:val="24"/>
              </w:rPr>
              <w:t>抚顺富诣达公路工程科技有限公司</w:t>
            </w:r>
            <w:r>
              <w:rPr>
                <w:rFonts w:ascii="仿宋_GB2312" w:eastAsia="仿宋_GB2312" w:cs="仿宋_GB2312" w:hAnsi="仿宋_GB2312" w:hint="eastAsia"/>
                <w:bCs/>
                <w:color w:val="000000"/>
                <w:sz w:val="24"/>
                <w:szCs w:val="24"/>
              </w:rPr>
              <w:fldChar w:fldCharType="end"/>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建筑业企业资质认定（总承包特级、一级及部分专业一级除外）-资质增项-水利水电工程施工总承包二级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业绩</w:t>
            </w:r>
            <w:r>
              <w:rPr>
                <w:rFonts w:ascii="仿宋_GB2312" w:eastAsia="仿宋_GB2312" w:cs="仿宋_GB2312" w:hAnsi="仿宋_GB2312" w:hint="eastAsia"/>
                <w:bCs/>
                <w:color w:val="000000"/>
                <w:kern w:val="0"/>
                <w:sz w:val="24"/>
                <w:szCs w:val="24"/>
                <w:lang w:val="en-US" w:eastAsia="zh-CN"/>
              </w:rPr>
              <w:t>1、2的</w:t>
            </w:r>
            <w:r>
              <w:rPr>
                <w:rFonts w:ascii="仿宋_GB2312" w:eastAsia="仿宋_GB2312" w:cs="仿宋_GB2312" w:hAnsi="仿宋_GB2312" w:hint="eastAsia"/>
                <w:bCs/>
                <w:color w:val="000000"/>
                <w:kern w:val="0"/>
                <w:sz w:val="24"/>
                <w:szCs w:val="24"/>
                <w:lang w:eastAsia="zh-CN"/>
              </w:rPr>
              <w:t>合同协议书、完工验收证明中存在明显错误，且无法证明朱某超为该业绩的技术负责人，业绩存疑。付某全国水利建设市场监管平台显示其他单位从业。</w:t>
            </w:r>
          </w:p>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不符合资质要求。</w:t>
            </w:r>
          </w:p>
        </w:tc>
      </w:tr>
      <w:tr>
        <w:trPr>
          <w:trHeight w:val="2826"/>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 xml:space="preserve">宇宸建设有限公司 </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建筑业企业资质认定（总承包特级、一级及部分专业一级除外）-资质升级-水利水电工程施工总承包二级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业绩1、2提供材料无法证明王某军为该业绩的技术负责人，且与四库一平台中信息不一致，业绩存疑。</w:t>
            </w:r>
          </w:p>
          <w:p>
            <w:pPr>
              <w:widowControl/>
              <w:snapToGrid w:val="0"/>
              <w:jc w:val="left"/>
              <w:textAlignment w:val="center"/>
              <w:rPr>
                <w:rFonts w:ascii="仿宋_GB2312" w:eastAsia="仿宋_GB2312" w:cs="仿宋_GB2312" w:hAnsi="仿宋_GB2312" w:hint="eastAsia"/>
                <w:bCs/>
                <w:color w:val="000000"/>
                <w:kern w:val="0"/>
                <w:sz w:val="24"/>
                <w:szCs w:val="24"/>
              </w:rPr>
            </w:pPr>
            <w:r>
              <w:rPr>
                <w:rFonts w:ascii="仿宋_GB2312" w:eastAsia="仿宋_GB2312" w:cs="仿宋_GB2312" w:hAnsi="仿宋_GB2312" w:hint="eastAsia"/>
                <w:bCs/>
                <w:color w:val="000000"/>
                <w:kern w:val="0"/>
                <w:sz w:val="24"/>
                <w:szCs w:val="24"/>
                <w:lang w:val="en-US" w:eastAsia="zh-CN"/>
              </w:rPr>
              <w:t>不符合资质要求。</w:t>
            </w:r>
          </w:p>
        </w:tc>
      </w:tr>
      <w:tr>
        <w:trPr>
          <w:trHeight w:val="3952"/>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fldChar w:fldCharType="begin"/>
            </w:r>
            <w:r>
              <w:instrText>HYPERLINK "https://59.197.161.2/hz_aeaa/todo/more_manage?parentlink=304B9AA0-7B24-4CA0-B4C8-1A81DBB1E6C2&amp;sonlink=B23D966E-8075-4F9A-A154-1AFF5539C047&amp;page.currentPage=2&amp;page.showCount=10"</w:instrText>
            </w:r>
            <w:r>
              <w:rPr>
                <w:rFonts w:ascii="仿宋_GB2312" w:eastAsia="仿宋_GB2312" w:cs="仿宋_GB2312" w:hAnsi="仿宋_GB2312" w:hint="eastAsia"/>
                <w:bCs/>
                <w:color w:val="000000"/>
                <w:sz w:val="24"/>
                <w:szCs w:val="24"/>
              </w:rPr>
              <w:fldChar w:fldCharType="separate"/>
            </w:r>
            <w:r>
              <w:rPr>
                <w:rFonts w:ascii="仿宋_GB2312" w:eastAsia="仿宋_GB2312" w:cs="仿宋_GB2312" w:hAnsi="仿宋_GB2312" w:hint="eastAsia"/>
                <w:bCs/>
                <w:color w:val="000000"/>
                <w:sz w:val="24"/>
                <w:szCs w:val="24"/>
              </w:rPr>
              <w:t>凤城市昱成建设工程有限公司</w:t>
            </w:r>
            <w:r>
              <w:rPr>
                <w:rFonts w:ascii="仿宋_GB2312" w:eastAsia="仿宋_GB2312" w:cs="仿宋_GB2312" w:hAnsi="仿宋_GB2312" w:hint="eastAsia"/>
                <w:bCs/>
                <w:color w:val="000000"/>
                <w:sz w:val="24"/>
                <w:szCs w:val="24"/>
              </w:rPr>
              <w:fldChar w:fldCharType="end"/>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建筑业企业资质认定（总承包特级、一级及部分专业一级除外）-资质增项-水利水电工程施工总承包二级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eastAsia="zh-CN"/>
              </w:rPr>
              <w:t>2023年财务报表与以前申报材料时提交的2022年财务报表雷同。业绩</w:t>
            </w:r>
            <w:r>
              <w:rPr>
                <w:rFonts w:ascii="仿宋_GB2312" w:eastAsia="仿宋_GB2312" w:cs="仿宋_GB2312" w:hAnsi="仿宋_GB2312" w:hint="eastAsia"/>
                <w:bCs/>
                <w:color w:val="000000"/>
                <w:kern w:val="0"/>
                <w:sz w:val="24"/>
                <w:szCs w:val="24"/>
                <w:lang w:val="en-US" w:eastAsia="zh-CN"/>
              </w:rPr>
              <w:t>1、2、3</w:t>
            </w:r>
            <w:r>
              <w:rPr>
                <w:rFonts w:ascii="仿宋_GB2312" w:eastAsia="仿宋_GB2312" w:cs="仿宋_GB2312" w:hAnsi="仿宋_GB2312" w:hint="eastAsia"/>
                <w:bCs/>
                <w:color w:val="000000"/>
                <w:kern w:val="0"/>
                <w:sz w:val="24"/>
                <w:szCs w:val="24"/>
                <w:lang w:eastAsia="zh-CN"/>
              </w:rPr>
              <w:t>信息与全国水利建设市场监管平台不一致，业绩存疑。韩某、于某龙、段某杰</w:t>
            </w:r>
            <w:r>
              <w:rPr>
                <w:rFonts w:ascii="仿宋_GB2312" w:eastAsia="仿宋_GB2312" w:cs="仿宋_GB2312" w:hAnsi="仿宋_GB2312" w:hint="eastAsia"/>
                <w:bCs/>
                <w:color w:val="000000"/>
                <w:kern w:val="0"/>
                <w:sz w:val="24"/>
                <w:szCs w:val="24"/>
                <w:lang w:val="en-US" w:eastAsia="zh-CN"/>
              </w:rPr>
              <w:t>3</w:t>
            </w:r>
            <w:r>
              <w:rPr>
                <w:rFonts w:ascii="仿宋_GB2312" w:eastAsia="仿宋_GB2312" w:cs="仿宋_GB2312" w:hAnsi="仿宋_GB2312" w:hint="eastAsia"/>
                <w:bCs/>
                <w:color w:val="000000"/>
                <w:kern w:val="0"/>
                <w:sz w:val="24"/>
                <w:szCs w:val="24"/>
                <w:lang w:eastAsia="zh-CN"/>
              </w:rPr>
              <w:t>人全国水利建设市场监管平台显示其他单位从业。于某龙社保校核未通过。</w:t>
            </w:r>
          </w:p>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val="en-US" w:eastAsia="zh-CN"/>
              </w:rPr>
              <w:t>不符合资质要求。</w:t>
            </w:r>
          </w:p>
        </w:tc>
      </w:tr>
      <w:tr>
        <w:trPr>
          <w:trHeight w:val="2962"/>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bCs/>
                <w:color w:val="000000"/>
                <w:sz w:val="24"/>
                <w:szCs w:val="24"/>
                <w:lang w:val="en-US" w:eastAsia="zh-CN"/>
              </w:rPr>
            </w:pPr>
            <w:r>
              <w:rPr>
                <w:rFonts w:ascii="仿宋_GB2312" w:eastAsia="仿宋_GB2312" w:cs="仿宋_GB2312" w:hAnsi="仿宋_GB2312"/>
                <w:bCs/>
                <w:color w:val="000000"/>
                <w:sz w:val="24"/>
                <w:szCs w:val="24"/>
                <w:lang w:val="en-US" w:eastAsia="zh-CN"/>
              </w:rPr>
              <w:fldChar w:fldCharType="begin"/>
            </w:r>
            <w:r>
              <w:instrText>HYPERLINK "https://59.197.161.2/hz_aeaa/todo/more_manage?parentlink=304B9AA0-7B24-4CA0-B4C8-1A81DBB1E6C2&amp;sonlink=B23D966E-8075-4F9A-A154-1AFF5539C047&amp;page.currentPage=2&amp;page.showCount=10"</w:instrText>
            </w:r>
            <w:r>
              <w:rPr>
                <w:rFonts w:ascii="仿宋_GB2312" w:eastAsia="仿宋_GB2312" w:cs="仿宋_GB2312" w:hAnsi="仿宋_GB2312"/>
                <w:bCs/>
                <w:color w:val="000000"/>
                <w:sz w:val="24"/>
                <w:szCs w:val="24"/>
                <w:lang w:val="en-US" w:eastAsia="zh-CN"/>
              </w:rPr>
              <w:fldChar w:fldCharType="separate"/>
            </w:r>
            <w:r>
              <w:rPr>
                <w:rFonts w:ascii="仿宋_GB2312" w:eastAsia="仿宋_GB2312" w:cs="仿宋_GB2312" w:hAnsi="仿宋_GB2312"/>
                <w:bCs/>
                <w:color w:val="000000"/>
                <w:sz w:val="24"/>
                <w:szCs w:val="24"/>
                <w:lang w:val="en-US" w:eastAsia="zh-CN"/>
              </w:rPr>
              <w:t>辽宁通久建设集团有限公司</w:t>
            </w:r>
            <w:r>
              <w:rPr>
                <w:rFonts w:ascii="仿宋_GB2312" w:eastAsia="仿宋_GB2312" w:cs="仿宋_GB2312" w:hAnsi="仿宋_GB2312"/>
                <w:bCs/>
                <w:color w:val="000000"/>
                <w:sz w:val="24"/>
                <w:szCs w:val="24"/>
                <w:lang w:val="en-US" w:eastAsia="zh-CN"/>
              </w:rPr>
              <w:fldChar w:fldCharType="end"/>
            </w:r>
            <w:r>
              <w:rPr>
                <w:rFonts w:ascii="仿宋_GB2312" w:eastAsia="仿宋_GB2312" w:cs="仿宋_GB2312" w:hAnsi="仿宋_GB2312"/>
                <w:bCs/>
                <w:color w:val="000000"/>
                <w:sz w:val="24"/>
                <w:szCs w:val="24"/>
                <w:lang w:val="en-US" w:eastAsia="zh-CN"/>
              </w:rPr>
              <w:t> </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建筑业企业资质认定（总承包特级、一级及部分专业一级除外）-资质升级-水利水电工程施工总承包二级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val="en-US" w:eastAsia="zh-CN"/>
              </w:rPr>
              <w:t>柳叶闸(北部新城4号闸桥)枢纽工程业绩信息</w:t>
            </w:r>
            <w:r>
              <w:rPr>
                <w:rFonts w:ascii="仿宋_GB2312" w:eastAsia="仿宋_GB2312" w:cs="仿宋_GB2312" w:hAnsi="仿宋_GB2312" w:hint="eastAsia"/>
                <w:bCs/>
                <w:color w:val="000000"/>
                <w:kern w:val="0"/>
                <w:sz w:val="24"/>
                <w:szCs w:val="24"/>
                <w:lang w:eastAsia="zh-CN"/>
              </w:rPr>
              <w:t>与全国水利建设市场监管平台不一致，业绩存疑。</w:t>
            </w:r>
          </w:p>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val="en-US" w:eastAsia="zh-CN"/>
              </w:rPr>
              <w:t>不符合资质要求。</w:t>
            </w:r>
          </w:p>
        </w:tc>
      </w:tr>
      <w:tr>
        <w:trPr>
          <w:trHeight w:val="3327"/>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lang w:val="en-US" w:eastAsia="zh-CN"/>
              </w:rPr>
            </w:pPr>
            <w:r>
              <w:rPr>
                <w:rFonts w:ascii="仿宋_GB2312" w:eastAsia="仿宋_GB2312" w:cs="仿宋_GB2312" w:hAnsi="仿宋_GB2312" w:hint="eastAsia"/>
                <w:bCs/>
                <w:color w:val="000000"/>
                <w:sz w:val="24"/>
                <w:szCs w:val="24"/>
                <w:lang w:val="en-US" w:eastAsia="zh-CN"/>
              </w:rPr>
              <w:fldChar w:fldCharType="begin"/>
            </w:r>
            <w:r>
              <w:instrText>HYPERLINK "https://59.197.161.2/hz_aeaa/todo/more_manage?parentlink=304B9AA0-7B24-4CA0-B4C8-1A81DBB1E6C2&amp;sonlink=B23D966E-8075-4F9A-A154-1AFF5539C047&amp;page.currentPage=2&amp;page.showCount=10"</w:instrText>
            </w:r>
            <w:r>
              <w:rPr>
                <w:rFonts w:ascii="仿宋_GB2312" w:eastAsia="仿宋_GB2312" w:cs="仿宋_GB2312" w:hAnsi="仿宋_GB2312" w:hint="eastAsia"/>
                <w:bCs/>
                <w:color w:val="000000"/>
                <w:sz w:val="24"/>
                <w:szCs w:val="24"/>
                <w:lang w:val="en-US" w:eastAsia="zh-CN"/>
              </w:rPr>
              <w:fldChar w:fldCharType="separate"/>
            </w:r>
            <w:r>
              <w:rPr>
                <w:rFonts w:ascii="仿宋_GB2312" w:eastAsia="仿宋_GB2312" w:cs="仿宋_GB2312" w:hAnsi="仿宋_GB2312" w:hint="eastAsia"/>
                <w:bCs/>
                <w:color w:val="000000"/>
                <w:sz w:val="24"/>
                <w:szCs w:val="24"/>
                <w:lang w:val="en-US" w:eastAsia="zh-CN"/>
              </w:rPr>
              <w:t>辽宁华宇设备安装有限公司</w:t>
            </w:r>
            <w:r>
              <w:rPr>
                <w:rFonts w:ascii="仿宋_GB2312" w:eastAsia="仿宋_GB2312" w:cs="仿宋_GB2312" w:hAnsi="仿宋_GB2312" w:hint="eastAsia"/>
                <w:bCs/>
                <w:color w:val="000000"/>
                <w:sz w:val="24"/>
                <w:szCs w:val="24"/>
                <w:lang w:val="en-US" w:eastAsia="zh-CN"/>
              </w:rPr>
              <w:fldChar w:fldCharType="end"/>
            </w:r>
            <w:r>
              <w:rPr>
                <w:rFonts w:ascii="仿宋_GB2312" w:eastAsia="仿宋_GB2312" w:cs="仿宋_GB2312" w:hAnsi="仿宋_GB2312" w:hint="eastAsia"/>
                <w:bCs/>
                <w:color w:val="000000"/>
                <w:sz w:val="24"/>
                <w:szCs w:val="24"/>
                <w:lang w:val="en-US" w:eastAsia="zh-CN"/>
              </w:rPr>
              <w:t> </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建筑业企业资质认定（总承包特级、一级及部分专业一级除外）-资质增项-水利水电工程施工总承包二级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val="en-US" w:eastAsia="zh-CN"/>
              </w:rPr>
              <w:t>江门市应急备用水源及供水设施工程为市政工程。巢湖环湖防洪治理工程庐江县白山段堤防加固及崩岸治理工程施工标信息与</w:t>
            </w:r>
            <w:r>
              <w:rPr>
                <w:rFonts w:ascii="仿宋_GB2312" w:eastAsia="仿宋_GB2312" w:cs="仿宋_GB2312" w:hAnsi="仿宋_GB2312" w:hint="eastAsia"/>
                <w:bCs/>
                <w:color w:val="000000"/>
                <w:kern w:val="0"/>
                <w:sz w:val="24"/>
                <w:szCs w:val="24"/>
                <w:lang w:eastAsia="zh-CN"/>
              </w:rPr>
              <w:t>全国水利建设市场监管平台不一致，业绩存疑。</w:t>
            </w:r>
          </w:p>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val="en-US" w:eastAsia="zh-CN"/>
              </w:rPr>
              <w:t>不符合资质要求。</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p>
        </w:tc>
      </w:tr>
      <w:tr>
        <w:trPr>
          <w:trHeight w:val="4092"/>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lang w:val="en-US" w:eastAsia="zh-CN"/>
              </w:rPr>
            </w:pPr>
            <w:r>
              <w:rPr>
                <w:rFonts w:ascii="仿宋_GB2312" w:eastAsia="仿宋_GB2312" w:cs="仿宋_GB2312" w:hAnsi="仿宋_GB2312" w:hint="eastAsia"/>
                <w:bCs/>
                <w:color w:val="000000"/>
                <w:sz w:val="24"/>
                <w:szCs w:val="24"/>
                <w:lang w:val="en-US" w:eastAsia="zh-CN"/>
              </w:rPr>
              <w:fldChar w:fldCharType="begin"/>
            </w:r>
            <w:r>
              <w:instrText>HYPERLINK "https://59.197.161.2/hz_aeaa/todo/more_manage?parentlink=304B9AA0-7B24-4CA0-B4C8-1A81DBB1E6C2&amp;sonlink=B23D966E-8075-4F9A-A154-1AFF5539C047&amp;page.currentPage=2&amp;page.showCount=10"</w:instrText>
            </w:r>
            <w:r>
              <w:rPr>
                <w:rFonts w:ascii="仿宋_GB2312" w:eastAsia="仿宋_GB2312" w:cs="仿宋_GB2312" w:hAnsi="仿宋_GB2312" w:hint="eastAsia"/>
                <w:bCs/>
                <w:color w:val="000000"/>
                <w:sz w:val="24"/>
                <w:szCs w:val="24"/>
                <w:lang w:val="en-US" w:eastAsia="zh-CN"/>
              </w:rPr>
              <w:fldChar w:fldCharType="separate"/>
            </w:r>
            <w:r>
              <w:rPr>
                <w:rFonts w:ascii="仿宋_GB2312" w:eastAsia="仿宋_GB2312" w:cs="仿宋_GB2312" w:hAnsi="仿宋_GB2312" w:hint="eastAsia"/>
                <w:bCs/>
                <w:color w:val="000000"/>
                <w:sz w:val="24"/>
                <w:szCs w:val="24"/>
                <w:lang w:val="en-US" w:eastAsia="zh-CN"/>
              </w:rPr>
              <w:t>辽宁金奕建筑工程有限公司</w:t>
            </w:r>
            <w:r>
              <w:rPr>
                <w:rFonts w:ascii="仿宋_GB2312" w:eastAsia="仿宋_GB2312" w:cs="仿宋_GB2312" w:hAnsi="仿宋_GB2312" w:hint="eastAsia"/>
                <w:bCs/>
                <w:color w:val="000000"/>
                <w:sz w:val="24"/>
                <w:szCs w:val="24"/>
                <w:lang w:val="en-US" w:eastAsia="zh-CN"/>
              </w:rPr>
              <w:fldChar w:fldCharType="end"/>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建筑业企业资质认定（总承包特级、一级及部分专业一级除外）-资质升级-水利水电工程施工总承包二级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业绩1、2存疑。郭某四库一平台中显示在其他企业从业。丁某军、胡某涛、侯某莹、侯某刚、黄某生、徐某琦、袁某梅、张某生、张某莲全国水利监管平台中显示在其他企业从业。赵某艳社保校核未通过。</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不符合资质要求。</w:t>
            </w:r>
          </w:p>
        </w:tc>
      </w:tr>
      <w:tr>
        <w:trPr>
          <w:trHeight w:val="2962"/>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lang w:val="en-US" w:eastAsia="zh-CN"/>
              </w:rPr>
            </w:pPr>
            <w:r>
              <w:rPr>
                <w:rFonts w:ascii="仿宋_GB2312" w:eastAsia="仿宋_GB2312" w:cs="仿宋_GB2312" w:hAnsi="仿宋_GB2312" w:hint="eastAsia"/>
                <w:bCs/>
                <w:color w:val="000000"/>
                <w:sz w:val="24"/>
                <w:szCs w:val="24"/>
                <w:lang w:val="en-US" w:eastAsia="zh-CN"/>
              </w:rPr>
              <w:fldChar w:fldCharType="begin"/>
            </w:r>
            <w:r>
              <w:instrText>HYPERLINK "https://59.197.161.2/hz_aeaa/todo/more_manage?parentlink=304B9AA0-7B24-4CA0-B4C8-1A81DBB1E6C2&amp;sonlink=B23D966E-8075-4F9A-A154-1AFF5539C047&amp;page.currentPage=1&amp;page.showCount=10"</w:instrText>
            </w:r>
            <w:r>
              <w:rPr>
                <w:rFonts w:ascii="仿宋_GB2312" w:eastAsia="仿宋_GB2312" w:cs="仿宋_GB2312" w:hAnsi="仿宋_GB2312" w:hint="eastAsia"/>
                <w:bCs/>
                <w:color w:val="000000"/>
                <w:sz w:val="24"/>
                <w:szCs w:val="24"/>
                <w:lang w:val="en-US" w:eastAsia="zh-CN"/>
              </w:rPr>
              <w:fldChar w:fldCharType="separate"/>
            </w:r>
            <w:r>
              <w:rPr>
                <w:rFonts w:ascii="仿宋_GB2312" w:eastAsia="仿宋_GB2312" w:cs="仿宋_GB2312" w:hAnsi="仿宋_GB2312" w:hint="eastAsia"/>
                <w:bCs/>
                <w:color w:val="000000"/>
                <w:sz w:val="24"/>
                <w:szCs w:val="24"/>
                <w:lang w:val="en-US" w:eastAsia="zh-CN"/>
              </w:rPr>
              <w:t>辽宁大孤山建设（集团）有限公司</w:t>
            </w:r>
            <w:r>
              <w:rPr>
                <w:rFonts w:ascii="仿宋_GB2312" w:eastAsia="仿宋_GB2312" w:cs="仿宋_GB2312" w:hAnsi="仿宋_GB2312" w:hint="eastAsia"/>
                <w:bCs/>
                <w:color w:val="000000"/>
                <w:sz w:val="24"/>
                <w:szCs w:val="24"/>
                <w:lang w:val="en-US" w:eastAsia="zh-CN"/>
              </w:rPr>
              <w:fldChar w:fldCharType="end"/>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建筑业企业资质认定（总承包特级、一级及部分专业一级除外）-资质升级-水利水电工程施工总承包二级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符合资质要求。</w:t>
            </w:r>
          </w:p>
        </w:tc>
      </w:tr>
      <w:tr>
        <w:trPr>
          <w:trHeight w:val="2962"/>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lang w:val="en-US" w:eastAsia="zh-CN"/>
              </w:rPr>
            </w:pPr>
            <w:r>
              <w:rPr>
                <w:rFonts w:ascii="仿宋_GB2312" w:eastAsia="仿宋_GB2312" w:cs="仿宋_GB2312" w:hAnsi="仿宋_GB2312" w:hint="eastAsia"/>
                <w:bCs/>
                <w:color w:val="000000"/>
                <w:sz w:val="24"/>
                <w:szCs w:val="24"/>
                <w:lang w:val="en-US" w:eastAsia="zh-CN"/>
              </w:rPr>
              <w:fldChar w:fldCharType="begin"/>
            </w:r>
            <w:r>
              <w:instrText>HYPERLINK "https://59.197.161.2/hz_aeaa/todo/more_manage?parentlink=304B9AA0-7B24-4CA0-B4C8-1A81DBB1E6C2&amp;sonlink=B23D966E-8075-4F9A-A154-1AFF5539C047&amp;page.currentPage=1&amp;page.showCount=10"</w:instrText>
            </w:r>
            <w:r>
              <w:rPr>
                <w:rFonts w:ascii="仿宋_GB2312" w:eastAsia="仿宋_GB2312" w:cs="仿宋_GB2312" w:hAnsi="仿宋_GB2312" w:hint="eastAsia"/>
                <w:bCs/>
                <w:color w:val="000000"/>
                <w:sz w:val="24"/>
                <w:szCs w:val="24"/>
                <w:lang w:val="en-US" w:eastAsia="zh-CN"/>
              </w:rPr>
              <w:fldChar w:fldCharType="separate"/>
            </w:r>
            <w:r>
              <w:rPr>
                <w:rFonts w:ascii="仿宋_GB2312" w:eastAsia="仿宋_GB2312" w:cs="仿宋_GB2312" w:hAnsi="仿宋_GB2312" w:hint="eastAsia"/>
                <w:bCs/>
                <w:color w:val="000000"/>
                <w:sz w:val="24"/>
                <w:szCs w:val="24"/>
                <w:lang w:val="en-US" w:eastAsia="zh-CN"/>
              </w:rPr>
              <w:t>宇宸建设有限公司</w:t>
            </w:r>
            <w:r>
              <w:rPr>
                <w:rFonts w:ascii="仿宋_GB2312" w:eastAsia="仿宋_GB2312" w:cs="仿宋_GB2312" w:hAnsi="仿宋_GB2312" w:hint="eastAsia"/>
                <w:bCs/>
                <w:color w:val="000000"/>
                <w:sz w:val="24"/>
                <w:szCs w:val="24"/>
                <w:lang w:val="en-US" w:eastAsia="zh-CN"/>
              </w:rPr>
              <w:fldChar w:fldCharType="end"/>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建筑业企业资质认定（总承包特级、一级及部分专业一级除外）-资质升级-河湖整治工程专业承包二级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业绩</w:t>
            </w:r>
            <w:r>
              <w:rPr>
                <w:rFonts w:ascii="仿宋_GB2312" w:eastAsia="仿宋_GB2312" w:cs="仿宋_GB2312" w:hAnsi="仿宋_GB2312" w:hint="eastAsia"/>
                <w:bCs/>
                <w:color w:val="000000"/>
                <w:kern w:val="0"/>
                <w:sz w:val="24"/>
                <w:szCs w:val="24"/>
                <w:lang w:val="en-US" w:eastAsia="zh-CN"/>
              </w:rPr>
              <w:t>1、2的</w:t>
            </w:r>
            <w:r>
              <w:rPr>
                <w:rFonts w:ascii="仿宋_GB2312" w:eastAsia="仿宋_GB2312" w:cs="仿宋_GB2312" w:hAnsi="仿宋_GB2312" w:hint="eastAsia"/>
                <w:bCs/>
                <w:color w:val="000000"/>
                <w:kern w:val="0"/>
                <w:sz w:val="24"/>
                <w:szCs w:val="24"/>
                <w:lang w:eastAsia="zh-CN"/>
              </w:rPr>
              <w:t>合同协议书、完工验收证明中存在明显错误，全国水利建设市场监管平台不一致，业绩存疑。中级以上职称人员专业不齐全，未提供技术装备申报材料。</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不符合资质要求。</w:t>
            </w:r>
          </w:p>
        </w:tc>
      </w:tr>
      <w:tr>
        <w:trPr>
          <w:trHeight w:val="2962"/>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lang w:val="en-US" w:eastAsia="zh-CN"/>
              </w:rPr>
            </w:pPr>
            <w:r>
              <w:rPr>
                <w:rFonts w:ascii="仿宋_GB2312" w:eastAsia="仿宋_GB2312" w:cs="仿宋_GB2312" w:hAnsi="仿宋_GB2312" w:hint="eastAsia"/>
                <w:bCs/>
                <w:color w:val="000000"/>
                <w:sz w:val="24"/>
                <w:szCs w:val="24"/>
                <w:lang w:val="en-US" w:eastAsia="zh-CN"/>
              </w:rPr>
              <w:fldChar w:fldCharType="begin"/>
            </w:r>
            <w:r>
              <w:instrText>HYPERLINK "https://59.197.161.2/hz_aeaa/todo/more_manage?parentlink=304B9AA0-7B24-4CA0-B4C8-1A81DBB1E6C2&amp;sonlink=B23D966E-8075-4F9A-A154-1AFF5539C047&amp;page.currentPage=1&amp;page.showCount=10"</w:instrText>
            </w:r>
            <w:r>
              <w:rPr>
                <w:rFonts w:ascii="仿宋_GB2312" w:eastAsia="仿宋_GB2312" w:cs="仿宋_GB2312" w:hAnsi="仿宋_GB2312" w:hint="eastAsia"/>
                <w:bCs/>
                <w:color w:val="000000"/>
                <w:sz w:val="24"/>
                <w:szCs w:val="24"/>
                <w:lang w:val="en-US" w:eastAsia="zh-CN"/>
              </w:rPr>
              <w:fldChar w:fldCharType="separate"/>
            </w:r>
            <w:r>
              <w:rPr>
                <w:rFonts w:ascii="仿宋_GB2312" w:eastAsia="仿宋_GB2312" w:cs="仿宋_GB2312" w:hAnsi="仿宋_GB2312" w:hint="eastAsia"/>
                <w:bCs/>
                <w:color w:val="000000"/>
                <w:sz w:val="24"/>
                <w:szCs w:val="24"/>
                <w:lang w:val="en-US" w:eastAsia="zh-CN"/>
              </w:rPr>
              <w:t>辽宁兴瀚市政建筑工程有限公司</w:t>
            </w:r>
            <w:r>
              <w:rPr>
                <w:rFonts w:ascii="仿宋_GB2312" w:eastAsia="仿宋_GB2312" w:cs="仿宋_GB2312" w:hAnsi="仿宋_GB2312" w:hint="eastAsia"/>
                <w:bCs/>
                <w:color w:val="000000"/>
                <w:sz w:val="24"/>
                <w:szCs w:val="24"/>
                <w:lang w:val="en-US" w:eastAsia="zh-CN"/>
              </w:rPr>
              <w:fldChar w:fldCharType="end"/>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建筑业企业资质认定（总承包特级、一级及部分专业一级除外）-资质设立-水利水电工程施工总承包二级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val="en-US" w:eastAsia="zh-CN"/>
              </w:rPr>
              <w:t>业绩1、2信息</w:t>
            </w:r>
            <w:r>
              <w:rPr>
                <w:rFonts w:ascii="仿宋_GB2312" w:eastAsia="仿宋_GB2312" w:cs="仿宋_GB2312" w:hAnsi="仿宋_GB2312" w:hint="eastAsia"/>
                <w:bCs/>
                <w:color w:val="000000"/>
                <w:kern w:val="0"/>
                <w:sz w:val="24"/>
                <w:szCs w:val="24"/>
                <w:lang w:eastAsia="zh-CN"/>
              </w:rPr>
              <w:t>与全国水利建设市场监管平台不一致，业绩存疑。陈某、胡某、尚某抗、孙某婉、杨某莹社保校核未通过。</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不符合资质要求。</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sectPr>
      <w:pgSz w:w="16838" w:h="11906" w:orient="landscape"/>
      <w:pgMar w:top="1746" w:right="1440" w:bottom="1449" w:left="1440" w:header="851" w:footer="992" w:gutter="0"/>
      <w:pgNumType w:start="2"/>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2010609060101010101"/>
    <w:charset w:val="86"/>
    <w:family w:val="auto"/>
    <w:pitch w:val="variable"/>
    <w:sig w:usb0="800002BF" w:usb1="38CF7CFA" w:usb2="00000016" w:usb3="00000000" w:csb0="00040001" w:csb1="00000000"/>
  </w:font>
  <w:font w:name="楷体">
    <w:altName w:val="方正楷体_GBK"/>
    <w:panose1 w:val="02010609060101010101"/>
    <w:charset w:val="86"/>
    <w:family w:val="auto"/>
    <w:pitch w:val="variable"/>
    <w:sig w:usb0="800002BF" w:usb1="38CF7CFA" w:usb2="00000016" w:usb3="00000000" w:csb0="00040001" w:csb1="00000000"/>
  </w:font>
  <w:font w:name="宋体">
    <w:altName w:val="方正书宋_GBK"/>
    <w:panose1 w:val="02010600030101010101"/>
    <w:charset w:val="86"/>
    <w:family w:val="auto"/>
    <w:pitch w:val="variable"/>
    <w:sig w:usb0="00000003" w:usb1="288F0000" w:usb2="00000006" w:usb3="00000000" w:csb0="00040001" w:csb1="00000000"/>
  </w:font>
  <w:font w:name="仿宋_GB2312">
    <w:altName w:val="方正仿宋_GBK"/>
    <w:panose1 w:val="02010609030101010101"/>
    <w:charset w:val="86"/>
    <w:family w:val="auto"/>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2000019F" w:csb1="00000000"/>
  </w:font>
  <w:font w:name="文泉驿正黑">
    <w:panose1 w:val="02000603000000000000"/>
    <w:charset w:val="86"/>
    <w:family w:val="script"/>
    <w:pitch w:val="variable"/>
    <w:sig w:usb0="900002BF" w:usb1="2BDF7DFB" w:usb2="00000036" w:usb3="00000000" w:csb0="603E000D" w:csb1="D2D7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FEF16F6"/>
    <w:multiLevelType w:val="singleLevel"/>
    <w:tmpl w:val="FFEF16F6"/>
    <w:lvl w:ilvl="0">
      <w:start w:val="1"/>
      <w:numFmt w:val="decimal"/>
      <w:lvlRestart w:val="0"/>
      <w:suff w:val="nothing"/>
      <w:lvlText w:val="%1"/>
      <w:lvlJc w:val="left"/>
      <w:pPr>
        <w:ind w:left="0" w:firstLine="397"/>
      </w:pPr>
      <w:rPr>
        <w:rFonts w:ascii="宋体" w:hAnsi="宋体"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ExpandShiftReturn/>
    <w:adjustLineHeightInTable/>
    <w:doNotUseIndentAsNumberingTabStop/>
    <w:useAltKinsokuLineBreakRules/>
    <w:compatSetting w:name="compatibilityMode" w:uri="http://schemas.microsoft.com/office/word" w:val="14"/>
  </w:compat>
  <w:docVars>
    <w:docVar w:name="commondata" w:val="eyJoZGlkIjoiMzEwNTM5NzYwMDRjMzkwZTVkZjY2ODkwMGIxNGU0OT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文泉驿正黑" w:eastAsia="黑体" w:hAnsi="文泉驿正黑"/>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character" w:styleId="17">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ACC3595-D665-4B3E-A62F-151A34713BA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5</Pages>
  <Words>0</Words>
  <Characters>934</Characters>
  <Lines>0</Lines>
  <Paragraphs>6</Paragraphs>
  <CharactersWithSpaces>1246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PPP</cp:lastModifiedBy>
  <cp:revision>1</cp:revision>
  <cp:lastPrinted>2023-12-18T03:13:00Z</cp:lastPrinted>
  <dcterms:created xsi:type="dcterms:W3CDTF">2023-07-21T06:26:00Z</dcterms:created>
  <dcterms:modified xsi:type="dcterms:W3CDTF">2025-01-24T01:51:16Z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2052-10.8.0.5988</vt:lpwstr>
  </property>
  <property fmtid="{D5CDD505-2E9C-101B-9397-08002B2CF9AE}" pid="3" name="ICV">
    <vt:lpwstr>3C7C3023F56E47BB8FBFE55586A3C052_13</vt:lpwstr>
  </property>
</Properties>
</file>